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ind w:firstLine="480"/>
        <w:jc w:val="center"/>
        <w:rPr>
          <w:rFonts w:ascii="微软雅黑" w:hAnsi="微软雅黑" w:eastAsia="微软雅黑" w:cs="宋体"/>
          <w:color w:val="4D453A"/>
          <w:kern w:val="0"/>
          <w:sz w:val="28"/>
          <w:szCs w:val="28"/>
        </w:rPr>
      </w:pPr>
      <w:r>
        <w:rPr>
          <w:rFonts w:hint="eastAsia" w:ascii="微软雅黑" w:hAnsi="微软雅黑" w:eastAsia="微软雅黑" w:cs="宋体"/>
          <w:color w:val="4D453A"/>
          <w:kern w:val="0"/>
          <w:sz w:val="28"/>
          <w:szCs w:val="28"/>
        </w:rPr>
        <w:t>2020年</w:t>
      </w:r>
      <w:bookmarkStart w:id="0" w:name="_GoBack"/>
      <w:bookmarkEnd w:id="0"/>
      <w:r>
        <w:rPr>
          <w:rFonts w:hint="eastAsia" w:ascii="微软雅黑" w:hAnsi="微软雅黑" w:eastAsia="微软雅黑" w:cs="宋体"/>
          <w:color w:val="4D453A"/>
          <w:kern w:val="0"/>
          <w:sz w:val="28"/>
          <w:szCs w:val="28"/>
        </w:rPr>
        <w:t>东华大学校级本科重点教改项目立项名单</w:t>
      </w:r>
    </w:p>
    <w:tbl>
      <w:tblPr>
        <w:tblStyle w:val="4"/>
        <w:tblW w:w="8473" w:type="dxa"/>
        <w:jc w:val="center"/>
        <w:tblLayout w:type="fixed"/>
        <w:tblCellMar>
          <w:top w:w="28" w:type="dxa"/>
          <w:left w:w="85" w:type="dxa"/>
          <w:bottom w:w="28" w:type="dxa"/>
          <w:right w:w="85" w:type="dxa"/>
        </w:tblCellMar>
      </w:tblPr>
      <w:tblGrid>
        <w:gridCol w:w="752"/>
        <w:gridCol w:w="6981"/>
        <w:gridCol w:w="740"/>
      </w:tblGrid>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b/>
                <w:color w:val="000000"/>
                <w:sz w:val="20"/>
                <w:szCs w:val="20"/>
              </w:rPr>
            </w:pPr>
            <w:r>
              <w:rPr>
                <w:rFonts w:hint="eastAsia" w:ascii="宋体" w:hAnsi="宋体" w:eastAsia="宋体" w:cs="Times New Roman"/>
                <w:b/>
                <w:color w:val="000000"/>
                <w:kern w:val="0"/>
                <w:sz w:val="20"/>
                <w:szCs w:val="20"/>
              </w:rPr>
              <w:t>序号</w:t>
            </w:r>
          </w:p>
        </w:tc>
        <w:tc>
          <w:tcPr>
            <w:tcW w:w="6981" w:type="dxa"/>
            <w:tcBorders>
              <w:top w:val="single" w:color="000000" w:sz="4" w:space="0"/>
              <w:left w:val="nil"/>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b/>
                <w:color w:val="000000"/>
                <w:sz w:val="20"/>
                <w:szCs w:val="20"/>
              </w:rPr>
            </w:pPr>
            <w:r>
              <w:rPr>
                <w:rFonts w:hint="eastAsia" w:ascii="宋体" w:hAnsi="宋体" w:eastAsia="宋体" w:cs="Times New Roman"/>
                <w:b/>
                <w:color w:val="000000"/>
                <w:kern w:val="0"/>
                <w:sz w:val="20"/>
                <w:szCs w:val="20"/>
              </w:rPr>
              <w:t>项目名称</w:t>
            </w:r>
          </w:p>
        </w:tc>
        <w:tc>
          <w:tcPr>
            <w:tcW w:w="740" w:type="dxa"/>
            <w:tcBorders>
              <w:top w:val="single" w:color="000000" w:sz="4" w:space="0"/>
              <w:left w:val="nil"/>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b/>
                <w:color w:val="000000"/>
                <w:sz w:val="20"/>
                <w:szCs w:val="20"/>
              </w:rPr>
            </w:pPr>
            <w:r>
              <w:rPr>
                <w:rFonts w:hint="eastAsia" w:ascii="宋体" w:hAnsi="宋体" w:eastAsia="宋体" w:cs="Times New Roman"/>
                <w:b/>
                <w:color w:val="000000"/>
                <w:kern w:val="0"/>
                <w:sz w:val="20"/>
                <w:szCs w:val="20"/>
              </w:rPr>
              <w:t>负责人</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1</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以两性一度和课程思政为抓手，建立推动经管一流课程建设的评价体系</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林文伟</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2</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基于混合式教学的编译原理教学改革</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姚砺</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3</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面向复杂工程问题多层次贯通虚实结合的电子信息类教学改革与探索</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张光林</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4</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热工基础建设与创新人才培养的协同研究</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杨洪海</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5</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劳教研融合驱动的文科拔尖人才培养模式探究与实践——以“非遗中国”实践课为试点</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罗薇娜</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6</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“后方法”教育理念下的口译课程一体化建设</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张曦</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7</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新形势下全英文纺织材料学教学改革探索</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蒋秋冉</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8</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新工科背景下服装设计与工程一流本科专业示范建设</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张向辉</w:t>
            </w:r>
          </w:p>
        </w:tc>
      </w:tr>
      <w:tr>
        <w:tblPrEx>
          <w:tblCellMar>
            <w:top w:w="28" w:type="dxa"/>
            <w:left w:w="85" w:type="dxa"/>
            <w:bottom w:w="28" w:type="dxa"/>
            <w:right w:w="85" w:type="dxa"/>
          </w:tblCellMar>
        </w:tblPrEx>
        <w:trPr>
          <w:trHeight w:val="454" w:hRule="atLeast"/>
          <w:jc w:val="center"/>
        </w:trPr>
        <w:tc>
          <w:tcPr>
            <w:tcW w:w="752" w:type="dxa"/>
            <w:tcBorders>
              <w:top w:val="single" w:color="000000" w:sz="4" w:space="0"/>
              <w:left w:val="single" w:color="000000" w:sz="4" w:space="0"/>
              <w:bottom w:val="single" w:color="000000" w:sz="4" w:space="0"/>
              <w:right w:val="single" w:color="000000" w:sz="4" w:space="0"/>
            </w:tcBorders>
            <w:noWrap/>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9</w:t>
            </w:r>
          </w:p>
        </w:tc>
        <w:tc>
          <w:tcPr>
            <w:tcW w:w="6981"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面向新工科的纺织领域创新设计实践</w:t>
            </w:r>
          </w:p>
        </w:tc>
        <w:tc>
          <w:tcPr>
            <w:tcW w:w="740" w:type="dxa"/>
            <w:tcBorders>
              <w:top w:val="single" w:color="000000" w:sz="4" w:space="0"/>
              <w:left w:val="nil"/>
              <w:bottom w:val="single" w:color="000000" w:sz="4" w:space="0"/>
              <w:right w:val="single" w:color="000000" w:sz="4" w:space="0"/>
            </w:tcBorders>
            <w:tcMar>
              <w:top w:w="10" w:type="dxa"/>
              <w:left w:w="10" w:type="dxa"/>
              <w:bottom w:w="28" w:type="dxa"/>
              <w:right w:w="10" w:type="dxa"/>
            </w:tcMar>
            <w:vAlign w:val="center"/>
          </w:tcPr>
          <w:p>
            <w:pPr>
              <w:widowControl/>
              <w:jc w:val="center"/>
              <w:textAlignment w:val="center"/>
              <w:rPr>
                <w:rFonts w:ascii="宋体" w:hAnsi="宋体" w:eastAsia="宋体" w:cs="Times New Roman"/>
                <w:color w:val="000000"/>
                <w:sz w:val="20"/>
                <w:szCs w:val="20"/>
              </w:rPr>
            </w:pPr>
            <w:r>
              <w:rPr>
                <w:rFonts w:hint="eastAsia" w:ascii="宋体" w:hAnsi="宋体" w:eastAsia="宋体" w:cs="Times New Roman"/>
                <w:color w:val="000000"/>
                <w:kern w:val="0"/>
                <w:sz w:val="20"/>
                <w:szCs w:val="20"/>
              </w:rPr>
              <w:t>沈琼</w:t>
            </w:r>
          </w:p>
        </w:tc>
      </w:tr>
    </w:tbl>
    <w:p>
      <w:pPr>
        <w:widowControl/>
        <w:spacing w:line="540" w:lineRule="atLeast"/>
        <w:ind w:firstLine="480"/>
        <w:jc w:val="center"/>
        <w:rPr>
          <w:rFonts w:hint="eastAsia" w:ascii="微软雅黑" w:hAnsi="微软雅黑" w:eastAsia="微软雅黑" w:cs="宋体"/>
          <w:color w:val="4D453A"/>
          <w:kern w:val="0"/>
          <w:sz w:val="28"/>
          <w:szCs w:val="28"/>
        </w:rPr>
      </w:pPr>
    </w:p>
    <w:p>
      <w:pPr>
        <w:widowControl/>
        <w:spacing w:line="540" w:lineRule="atLeast"/>
        <w:ind w:firstLine="480"/>
        <w:jc w:val="center"/>
        <w:rPr>
          <w:rFonts w:ascii="微软雅黑" w:hAnsi="微软雅黑" w:eastAsia="微软雅黑" w:cs="宋体"/>
          <w:color w:val="4D453A"/>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s.柍..">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5A"/>
    <w:rsid w:val="000218BA"/>
    <w:rsid w:val="00044DFB"/>
    <w:rsid w:val="00075D5C"/>
    <w:rsid w:val="00077BC8"/>
    <w:rsid w:val="0011422C"/>
    <w:rsid w:val="00125982"/>
    <w:rsid w:val="002733EC"/>
    <w:rsid w:val="0027512B"/>
    <w:rsid w:val="00297491"/>
    <w:rsid w:val="002B098D"/>
    <w:rsid w:val="003A1AD2"/>
    <w:rsid w:val="004A1688"/>
    <w:rsid w:val="00553891"/>
    <w:rsid w:val="005E6925"/>
    <w:rsid w:val="0071761E"/>
    <w:rsid w:val="00787A3E"/>
    <w:rsid w:val="0088283A"/>
    <w:rsid w:val="00AB0799"/>
    <w:rsid w:val="00B27978"/>
    <w:rsid w:val="00BC351D"/>
    <w:rsid w:val="00C07454"/>
    <w:rsid w:val="00C477DC"/>
    <w:rsid w:val="00C75A5A"/>
    <w:rsid w:val="00DB19BC"/>
    <w:rsid w:val="00DC5B89"/>
    <w:rsid w:val="00E878FE"/>
    <w:rsid w:val="00FD686A"/>
    <w:rsid w:val="0D13683E"/>
    <w:rsid w:val="50353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宋体s.柍.." w:eastAsia="宋体s.柍.." w:cs="宋体s.柍.."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184</Words>
  <Characters>1054</Characters>
  <Lines>8</Lines>
  <Paragraphs>2</Paragraphs>
  <TotalTime>114</TotalTime>
  <ScaleCrop>false</ScaleCrop>
  <LinksUpToDate>false</LinksUpToDate>
  <CharactersWithSpaces>1236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2020-09-25T01:24:00Z</dcterms:created>
  <dc:creator>adminh</dc:creator>
  <cp:lastModifiedBy>方宝红</cp:lastModifiedBy>
  <dcterms:modified xsi:type="dcterms:W3CDTF">2020-09-25T08:30:40Z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